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BE" w:rsidRPr="00A125BE" w:rsidRDefault="00A125BE" w:rsidP="00A125BE">
      <w:pPr>
        <w:jc w:val="center"/>
        <w:rPr>
          <w:rFonts w:hint="eastAsia"/>
          <w:b/>
          <w:sz w:val="36"/>
          <w:szCs w:val="36"/>
        </w:rPr>
      </w:pPr>
      <w:r w:rsidRPr="00A125BE">
        <w:rPr>
          <w:rFonts w:hint="eastAsia"/>
          <w:b/>
          <w:sz w:val="36"/>
          <w:szCs w:val="36"/>
        </w:rPr>
        <w:t>岗埠农场冷链物流园固化地坪施工</w:t>
      </w:r>
      <w:r w:rsidRPr="00A125BE">
        <w:rPr>
          <w:rFonts w:hint="eastAsia"/>
          <w:b/>
          <w:sz w:val="36"/>
          <w:szCs w:val="36"/>
        </w:rPr>
        <w:t>参照</w:t>
      </w:r>
      <w:r w:rsidRPr="00A125BE">
        <w:rPr>
          <w:rFonts w:hint="eastAsia"/>
          <w:b/>
          <w:sz w:val="36"/>
          <w:szCs w:val="36"/>
        </w:rPr>
        <w:t>标准</w:t>
      </w:r>
    </w:p>
    <w:p w:rsidR="00A125BE" w:rsidRDefault="00A125BE" w:rsidP="00A125BE">
      <w:pPr>
        <w:rPr>
          <w:rFonts w:hint="eastAsia"/>
        </w:rPr>
      </w:pP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为满足岗埠农场冷链物流园生产运营需求，本次施工需满足如下标准：</w:t>
      </w:r>
    </w:p>
    <w:p w:rsidR="00A125BE" w:rsidRPr="001C37E2" w:rsidRDefault="00A125BE" w:rsidP="001F6265">
      <w:pPr>
        <w:ind w:firstLineChars="200" w:firstLine="562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1C37E2">
        <w:rPr>
          <w:rFonts w:asciiTheme="minorEastAsia" w:eastAsiaTheme="minorEastAsia" w:hAnsiTheme="minorEastAsia" w:hint="eastAsia"/>
          <w:b/>
          <w:sz w:val="28"/>
          <w:szCs w:val="28"/>
        </w:rPr>
        <w:t>一、规范文件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GB 50072—2021 冷库设计标准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GB 50209—2010 建筑地面工程施工质量验收规范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GB 50204—2015 混凝土结构工程施工质量验收规范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GB/T 50476—2019 混凝土结构耐久性设计标准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JC/T 2158—2012 渗透型液体硬化剂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JC/T 906—2002 混凝土地面用水泥基耐磨材料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JGJ/T 331—2014 建筑地面工程防滑技术规程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CECS 328：2012 整体地坪工程技术规程</w:t>
      </w:r>
    </w:p>
    <w:p w:rsidR="00A125BE" w:rsidRPr="001C37E2" w:rsidRDefault="00A125BE" w:rsidP="001F6265">
      <w:pPr>
        <w:ind w:firstLineChars="200" w:firstLine="562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1C37E2">
        <w:rPr>
          <w:rFonts w:asciiTheme="minorEastAsia" w:eastAsiaTheme="minorEastAsia" w:hAnsiTheme="minorEastAsia" w:hint="eastAsia"/>
          <w:b/>
          <w:sz w:val="28"/>
          <w:szCs w:val="28"/>
        </w:rPr>
        <w:t>二、材料要求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1.固化剂采用锂基成分，严禁使用钠基或钾基产品替代。产品性能须满足JC/T 2158—2012中Ⅰ型要求，无色、无味、不燃，VOC含量符合国家环保规定，氧化锂含量不低于4%。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2.开面采用金刚石磨片，精磨采用树脂膜片。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3.施工用水为洁净自来水，不得含油污或有害杂质。所用配套材料须与锂基固化剂兼容，不得发生不良反应。</w:t>
      </w:r>
    </w:p>
    <w:p w:rsidR="00A125BE" w:rsidRPr="001C37E2" w:rsidRDefault="00A125BE" w:rsidP="001F6265">
      <w:pPr>
        <w:ind w:firstLineChars="200" w:firstLine="562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1C37E2">
        <w:rPr>
          <w:rFonts w:asciiTheme="minorEastAsia" w:eastAsiaTheme="minorEastAsia" w:hAnsiTheme="minorEastAsia" w:hint="eastAsia"/>
          <w:b/>
          <w:sz w:val="28"/>
          <w:szCs w:val="28"/>
        </w:rPr>
        <w:t>三、研磨与固化施工工艺要求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1.地面清扫用专用尘推和扫把地面垃圾清除干净后，采用850地坪研磨机作业，干湿结合。每道工序均须将上一道痕迹覆盖。所有过</w:t>
      </w:r>
      <w:r w:rsidRPr="00A125BE">
        <w:rPr>
          <w:rFonts w:asciiTheme="minorEastAsia" w:eastAsiaTheme="minorEastAsia" w:hAnsiTheme="minorEastAsia" w:hint="eastAsia"/>
          <w:sz w:val="28"/>
          <w:szCs w:val="28"/>
        </w:rPr>
        <w:lastRenderedPageBreak/>
        <w:t>程须保证骨料均匀显露、混凝土毛细孔充分打开。根据现场地平实际情况和平整度、标高等下磨混凝土厚度，均厚0.5-1cm,确保地面平整不积水。现场地面根据实际情况要全面做好起砂起灰处理。坑洞与麻点修补，用混凝土修补剂对坑洞做精细的修补，待干透。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2.开面研磨采用金刚石磨片，不得少于4遍，按纵横交叉路径进行。在固化剂涂覆之前，累积研磨不得少于10遍。开面后换用树脂结合剂磨片按照200目→ 800目（可根据实际增加中间号数）逐级研磨，须确保混凝土毛细孔充分、均匀打开，表面无釉面封闭层，以利固化剂深层渗透做基础。固化剂要按比例调匀，均匀涂刷泼洒锂基固化剂，并推匀等待完全干透；上第二遍锂基固化剂，操作同第一次一样，等待干透，注意一定要均匀涂刷。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3.整个地坪研磨不得少于20遍（含开面、固化前细磨、固化后抛光）。固化并干燥后，使用树脂磨片由低目数向高目数依次抛光，压痕充分。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4.收尾工序不低于2000目的树脂抛光垫或软磨片进行高速抛光，直至地面呈现均匀、清晰的高光泽，最终表面60°入射角光泽度计测值应达到 ≥80GU，且整体色泽均匀一致。</w:t>
      </w:r>
    </w:p>
    <w:p w:rsidR="00A125BE" w:rsidRPr="001C37E2" w:rsidRDefault="00A125BE" w:rsidP="001F6265">
      <w:pPr>
        <w:ind w:firstLineChars="200" w:firstLine="562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1C37E2">
        <w:rPr>
          <w:rFonts w:asciiTheme="minorEastAsia" w:eastAsiaTheme="minorEastAsia" w:hAnsiTheme="minorEastAsia" w:hint="eastAsia"/>
          <w:b/>
          <w:sz w:val="28"/>
          <w:szCs w:val="28"/>
        </w:rPr>
        <w:t>四、防滑与美观要求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1.必须确保冷库生产运营安全，防滑性能须满足以下指标（检测依据JGJ/T331—2014）：干态静摩擦系数 ≥0.70；湿态摆式摩擦系数（BPN） ≥50。若2000目抛光后表面防滑值不满足要求，须在抛光完成后增加专用防滑处理工序（如微纳表面处理或防滑剂轻抛），</w:t>
      </w:r>
      <w:r w:rsidRPr="00A125BE">
        <w:rPr>
          <w:rFonts w:asciiTheme="minorEastAsia" w:eastAsiaTheme="minorEastAsia" w:hAnsiTheme="minorEastAsia" w:hint="eastAsia"/>
          <w:sz w:val="28"/>
          <w:szCs w:val="28"/>
        </w:rPr>
        <w:lastRenderedPageBreak/>
        <w:t>在保持整体高光美观的前提下，形成微观防滑纹理，不得降低地坪的硬度、密实度和耐久性。</w:t>
      </w:r>
    </w:p>
    <w:p w:rsidR="00A125BE" w:rsidRPr="00A125BE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2.骨料外露均匀，露骨率≥ 60%，无明显水泥斑块、无打磨圈痕。颜色均匀，无固化剂白斑、无</w:t>
      </w:r>
      <w:bookmarkStart w:id="0" w:name="_GoBack"/>
      <w:bookmarkEnd w:id="0"/>
      <w:r w:rsidRPr="00A125BE">
        <w:rPr>
          <w:rFonts w:asciiTheme="minorEastAsia" w:eastAsiaTheme="minorEastAsia" w:hAnsiTheme="minorEastAsia" w:hint="eastAsia"/>
          <w:sz w:val="28"/>
          <w:szCs w:val="28"/>
        </w:rPr>
        <w:t>色差条带，整体视觉效果应与样板一致。</w:t>
      </w:r>
    </w:p>
    <w:p w:rsidR="00A125BE" w:rsidRPr="001C37E2" w:rsidRDefault="00A125BE" w:rsidP="001F6265">
      <w:pPr>
        <w:ind w:firstLineChars="200" w:firstLine="562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1C37E2">
        <w:rPr>
          <w:rFonts w:asciiTheme="minorEastAsia" w:eastAsiaTheme="minorEastAsia" w:hAnsiTheme="minorEastAsia" w:hint="eastAsia"/>
          <w:b/>
          <w:sz w:val="28"/>
          <w:szCs w:val="28"/>
        </w:rPr>
        <w:t>五、其他</w:t>
      </w:r>
    </w:p>
    <w:p w:rsidR="008E2201" w:rsidRPr="008E2201" w:rsidRDefault="00A125BE" w:rsidP="001F6265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A125BE">
        <w:rPr>
          <w:rFonts w:asciiTheme="minorEastAsia" w:eastAsiaTheme="minorEastAsia" w:hAnsiTheme="minorEastAsia" w:hint="eastAsia"/>
          <w:sz w:val="28"/>
          <w:szCs w:val="28"/>
        </w:rPr>
        <w:t>施工单位须提前编制专项施工方案，包含研磨路径、磨片目数序列、遍数记录表，经确认后方可实施。地坪排水坡度须符合设计要求，不得因研磨改变坡向或造成积水。本标准未尽事宜，按国家、行业及地方现行有关标准规范执行。有条件时，可现场模拟-20 ℃冻融循环试验，完成后应无起壳、空鼓、裂纹，质保期为30天。</w:t>
      </w:r>
    </w:p>
    <w:p w:rsidR="003D3209" w:rsidRPr="001C37E2" w:rsidRDefault="00A125BE" w:rsidP="001F6265">
      <w:pPr>
        <w:ind w:firstLineChars="200" w:firstLine="562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1C37E2">
        <w:rPr>
          <w:rFonts w:asciiTheme="minorEastAsia" w:eastAsiaTheme="minorEastAsia" w:hAnsiTheme="minorEastAsia" w:hint="eastAsia"/>
          <w:b/>
          <w:sz w:val="28"/>
          <w:szCs w:val="28"/>
        </w:rPr>
        <w:t>六、验收标准</w:t>
      </w:r>
    </w:p>
    <w:tbl>
      <w:tblPr>
        <w:tblW w:w="9471" w:type="dxa"/>
        <w:jc w:val="center"/>
        <w:tblLook w:val="04A0" w:firstRow="1" w:lastRow="0" w:firstColumn="1" w:lastColumn="0" w:noHBand="0" w:noVBand="1"/>
      </w:tblPr>
      <w:tblGrid>
        <w:gridCol w:w="1806"/>
        <w:gridCol w:w="3975"/>
        <w:gridCol w:w="3690"/>
      </w:tblGrid>
      <w:tr w:rsidR="00832BBA" w:rsidRPr="00442505" w:rsidTr="008E2201">
        <w:trPr>
          <w:trHeight w:val="420"/>
          <w:jc w:val="center"/>
        </w:trPr>
        <w:tc>
          <w:tcPr>
            <w:tcW w:w="94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2BBA" w:rsidRPr="00442505" w:rsidRDefault="00832BBA" w:rsidP="008E2201">
            <w:pPr>
              <w:widowControl/>
              <w:textAlignment w:val="center"/>
              <w:rPr>
                <w:rFonts w:ascii="宋体" w:hAnsi="宋体" w:cs="宋体"/>
                <w:b/>
                <w:bCs/>
                <w:color w:val="0F1115"/>
                <w:sz w:val="33"/>
                <w:szCs w:val="33"/>
              </w:rPr>
            </w:pPr>
          </w:p>
        </w:tc>
      </w:tr>
      <w:tr w:rsidR="00832BBA" w:rsidRPr="00442505" w:rsidTr="008E2201">
        <w:trPr>
          <w:trHeight w:val="500"/>
          <w:jc w:val="center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检验项目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技术指标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检验方法</w:t>
            </w: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/</w:t>
            </w: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依据</w:t>
            </w:r>
          </w:p>
        </w:tc>
      </w:tr>
      <w:tr w:rsidR="00832BBA" w:rsidRPr="00442505" w:rsidTr="008E2201">
        <w:trPr>
          <w:trHeight w:val="560"/>
          <w:jc w:val="center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表面平整度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3m</w:t>
            </w: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靠尺</w:t>
            </w: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 xml:space="preserve"> ±2mm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 xml:space="preserve">GB 50209 </w:t>
            </w: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靠尺与塞尺</w:t>
            </w:r>
          </w:p>
        </w:tc>
      </w:tr>
      <w:tr w:rsidR="00832BBA" w:rsidRPr="00442505" w:rsidTr="008E2201">
        <w:trPr>
          <w:trHeight w:val="794"/>
          <w:jc w:val="center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骨料外露均匀性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任意</w:t>
            </w: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1m²</w:t>
            </w: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露骨率</w:t>
            </w: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≥60%</w:t>
            </w: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，无大面积砂浆遮盖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目测与样板块对比</w:t>
            </w:r>
          </w:p>
        </w:tc>
      </w:tr>
      <w:tr w:rsidR="00832BBA" w:rsidRPr="00442505" w:rsidTr="008E2201">
        <w:trPr>
          <w:trHeight w:val="605"/>
          <w:jc w:val="center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表面光泽度（</w:t>
            </w: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60°</w:t>
            </w: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≥80 GU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光泽度仪</w:t>
            </w:r>
          </w:p>
        </w:tc>
      </w:tr>
      <w:tr w:rsidR="00832BBA" w:rsidRPr="00442505" w:rsidTr="008E2201">
        <w:trPr>
          <w:trHeight w:val="785"/>
          <w:jc w:val="center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表面硬度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莫氏硬度提升</w:t>
            </w: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≥2</w:t>
            </w: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级，或压痕直径</w:t>
            </w: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≤3.5mm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JC/T 2158</w:t>
            </w: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、莫氏硬度笔</w:t>
            </w:r>
          </w:p>
        </w:tc>
      </w:tr>
      <w:tr w:rsidR="00832BBA" w:rsidRPr="00442505" w:rsidTr="008E2201">
        <w:trPr>
          <w:trHeight w:val="500"/>
          <w:jc w:val="center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防滑性能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干态摩擦系数</w:t>
            </w: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≥0.70</w:t>
            </w: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，湿态</w:t>
            </w: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BPN≥50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 xml:space="preserve">JGJ/T 331 </w:t>
            </w: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规定方法</w:t>
            </w:r>
          </w:p>
        </w:tc>
      </w:tr>
      <w:tr w:rsidR="00832BBA" w:rsidRPr="00442505" w:rsidTr="008E2201">
        <w:trPr>
          <w:trHeight w:val="455"/>
          <w:jc w:val="center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渗透深度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≥3mm</w:t>
            </w: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（取芯酚酞试验）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Segoe UI" w:eastAsia="Segoe UI" w:hAnsi="Segoe UI" w:cs="Segoe UI"/>
                <w:color w:val="000000"/>
                <w:kern w:val="0"/>
                <w:sz w:val="22"/>
                <w:szCs w:val="22"/>
                <w:lang w:bidi="ar"/>
              </w:rPr>
              <w:t>JC/T 2158</w:t>
            </w:r>
          </w:p>
        </w:tc>
      </w:tr>
      <w:tr w:rsidR="00832BBA" w:rsidRPr="00442505" w:rsidTr="008E2201">
        <w:trPr>
          <w:trHeight w:val="497"/>
          <w:jc w:val="center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空鼓、裂纹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不允许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敲击、目测</w:t>
            </w:r>
          </w:p>
        </w:tc>
      </w:tr>
      <w:tr w:rsidR="00832BBA" w:rsidRPr="00442505" w:rsidTr="008E2201">
        <w:trPr>
          <w:trHeight w:val="567"/>
          <w:jc w:val="center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颜色外观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均匀一致，无圈痕、无白斑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BBA" w:rsidRPr="00442505" w:rsidRDefault="00832BBA" w:rsidP="008E2201">
            <w:pPr>
              <w:widowControl/>
              <w:jc w:val="center"/>
              <w:textAlignment w:val="center"/>
              <w:rPr>
                <w:rFonts w:ascii="Segoe UI" w:eastAsia="Segoe UI" w:hAnsi="Segoe UI" w:cs="Segoe UI"/>
                <w:color w:val="000000"/>
                <w:sz w:val="22"/>
                <w:szCs w:val="22"/>
              </w:rPr>
            </w:pPr>
            <w:r w:rsidRPr="004425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目测、比照样板</w:t>
            </w:r>
          </w:p>
        </w:tc>
      </w:tr>
    </w:tbl>
    <w:p w:rsidR="00A125BE" w:rsidRDefault="00A125BE" w:rsidP="008E2201"/>
    <w:sectPr w:rsidR="00A125B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34F" w:rsidRDefault="0066134F" w:rsidP="00A125BE">
      <w:r>
        <w:separator/>
      </w:r>
    </w:p>
  </w:endnote>
  <w:endnote w:type="continuationSeparator" w:id="0">
    <w:p w:rsidR="0066134F" w:rsidRDefault="0066134F" w:rsidP="00A1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307524"/>
      <w:docPartObj>
        <w:docPartGallery w:val="Page Numbers (Bottom of Page)"/>
        <w:docPartUnique/>
      </w:docPartObj>
    </w:sdtPr>
    <w:sdtContent>
      <w:p w:rsidR="00A125BE" w:rsidRDefault="00A125B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265" w:rsidRPr="001F6265">
          <w:rPr>
            <w:noProof/>
            <w:lang w:val="zh-CN"/>
          </w:rPr>
          <w:t>1</w:t>
        </w:r>
        <w:r>
          <w:fldChar w:fldCharType="end"/>
        </w:r>
      </w:p>
    </w:sdtContent>
  </w:sdt>
  <w:p w:rsidR="00A125BE" w:rsidRDefault="00A125B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34F" w:rsidRDefault="0066134F" w:rsidP="00A125BE">
      <w:r>
        <w:separator/>
      </w:r>
    </w:p>
  </w:footnote>
  <w:footnote w:type="continuationSeparator" w:id="0">
    <w:p w:rsidR="0066134F" w:rsidRDefault="0066134F" w:rsidP="00A12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BE"/>
    <w:rsid w:val="001C37E2"/>
    <w:rsid w:val="001F6265"/>
    <w:rsid w:val="003D3209"/>
    <w:rsid w:val="00442505"/>
    <w:rsid w:val="00453FCF"/>
    <w:rsid w:val="0066134F"/>
    <w:rsid w:val="00691149"/>
    <w:rsid w:val="00832BBA"/>
    <w:rsid w:val="008E2201"/>
    <w:rsid w:val="009F27E6"/>
    <w:rsid w:val="00A125BE"/>
    <w:rsid w:val="00F1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2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25BE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2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25B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2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25BE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2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25B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dcterms:created xsi:type="dcterms:W3CDTF">2026-08-12T08:53:00Z</dcterms:created>
  <dcterms:modified xsi:type="dcterms:W3CDTF">2026-08-12T09:02:00Z</dcterms:modified>
</cp:coreProperties>
</file>